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68" w:rsidRDefault="00B03C27">
      <w:pPr>
        <w:spacing w:before="59"/>
        <w:ind w:left="120"/>
        <w:rPr>
          <w:rFonts w:ascii="Arial"/>
          <w:b/>
          <w:sz w:val="36"/>
        </w:rPr>
      </w:pPr>
      <w:r>
        <w:rPr>
          <w:rFonts w:ascii="Arial"/>
          <w:b/>
          <w:color w:val="3D117A"/>
          <w:sz w:val="36"/>
        </w:rPr>
        <w:t>Containment Level Flowchart</w:t>
      </w:r>
    </w:p>
    <w:p w:rsidR="00307368" w:rsidRDefault="00B03C27">
      <w:pPr>
        <w:pStyle w:val="Heading1"/>
        <w:spacing w:before="279"/>
      </w:pPr>
      <w:r>
        <w:t>Applying for a Registration Document from the Institutional Biosafety Committee (IBC) to use Recombinant DNA and / or Infectious Agents</w:t>
      </w:r>
    </w:p>
    <w:p w:rsidR="00307368" w:rsidRDefault="00307368">
      <w:pPr>
        <w:pStyle w:val="BodyText"/>
        <w:spacing w:before="1"/>
        <w:rPr>
          <w:rFonts w:ascii="Arial"/>
          <w:b/>
        </w:rPr>
      </w:pPr>
    </w:p>
    <w:p w:rsidR="00307368" w:rsidRDefault="00B03C27" w:rsidP="00827406">
      <w:pPr>
        <w:pStyle w:val="BodyText"/>
        <w:ind w:left="120" w:right="422"/>
      </w:pPr>
      <w:r>
        <w:t xml:space="preserve">The key element of information that an investigator must determine and provide to the IBC in the application </w:t>
      </w:r>
      <w:r w:rsidR="00827406">
        <w:t xml:space="preserve">process </w:t>
      </w:r>
      <w:r>
        <w:t>is the level of containment required for the proposed activity.</w:t>
      </w:r>
    </w:p>
    <w:p w:rsidR="00307368" w:rsidRDefault="00307368">
      <w:pPr>
        <w:pStyle w:val="BodyText"/>
        <w:spacing w:before="2"/>
      </w:pPr>
    </w:p>
    <w:p w:rsidR="00307368" w:rsidRDefault="00B03C27">
      <w:pPr>
        <w:pStyle w:val="BodyText"/>
        <w:ind w:left="120" w:right="82"/>
      </w:pPr>
      <w:r>
        <w:t>If you are going to use recombinant DNA (rDNA), finding the appropriate section of the NIH Guidelines can be a challenge. We hop</w:t>
      </w:r>
      <w:r w:rsidR="00827406">
        <w:t>e the following information</w:t>
      </w:r>
      <w:r>
        <w:t xml:space="preserve"> will help you</w:t>
      </w:r>
      <w:r w:rsidR="00827406">
        <w:t>.</w:t>
      </w:r>
    </w:p>
    <w:p w:rsidR="00307368" w:rsidRDefault="00307368">
      <w:pPr>
        <w:pStyle w:val="BodyText"/>
        <w:spacing w:before="4"/>
      </w:pPr>
    </w:p>
    <w:p w:rsidR="00307368" w:rsidRDefault="00B03C27">
      <w:pPr>
        <w:pStyle w:val="Heading1"/>
      </w:pPr>
      <w:r>
        <w:t>Flow chart to determine Risk Level and Section of NIH Guidelines</w:t>
      </w:r>
    </w:p>
    <w:p w:rsidR="00307368" w:rsidRDefault="00307368">
      <w:pPr>
        <w:pStyle w:val="BodyText"/>
        <w:rPr>
          <w:rFonts w:ascii="Arial"/>
          <w:b/>
        </w:rPr>
      </w:pPr>
    </w:p>
    <w:p w:rsidR="00827406" w:rsidRDefault="00B03C27" w:rsidP="00B03C27">
      <w:pPr>
        <w:pStyle w:val="BodyText"/>
        <w:ind w:left="119" w:right="1295"/>
      </w:pPr>
      <w:r>
        <w:t>Th</w:t>
      </w:r>
      <w:r w:rsidR="00827406">
        <w:t>e NIH Guidelines are</w:t>
      </w:r>
      <w:r>
        <w:t xml:space="preserve"> online at</w:t>
      </w:r>
      <w:r w:rsidR="00827406">
        <w:t xml:space="preserve"> the following link:</w:t>
      </w:r>
      <w:r>
        <w:t xml:space="preserve"> </w:t>
      </w:r>
    </w:p>
    <w:p w:rsidR="00307368" w:rsidRDefault="00827406" w:rsidP="00B03C27">
      <w:pPr>
        <w:pStyle w:val="BodyText"/>
        <w:ind w:left="119" w:right="1295"/>
      </w:pPr>
      <w:hyperlink r:id="rId7" w:history="1">
        <w:r w:rsidR="00B03C27" w:rsidRPr="00827406">
          <w:rPr>
            <w:rStyle w:val="Hyperlink"/>
          </w:rPr>
          <w:t>https://osp.od.nih.gov/wp-con</w:t>
        </w:r>
        <w:r w:rsidR="00B03C27" w:rsidRPr="00827406">
          <w:rPr>
            <w:rStyle w:val="Hyperlink"/>
          </w:rPr>
          <w:t>t</w:t>
        </w:r>
        <w:r w:rsidR="00B03C27" w:rsidRPr="00827406">
          <w:rPr>
            <w:rStyle w:val="Hyperlink"/>
          </w:rPr>
          <w:t>ent/uploads/NIH_Guidelines.pdf</w:t>
        </w:r>
      </w:hyperlink>
      <w:r w:rsidR="00025302">
        <w:t>.</w:t>
      </w:r>
    </w:p>
    <w:p w:rsidR="00827406" w:rsidRDefault="00827406" w:rsidP="00B03C27">
      <w:pPr>
        <w:pStyle w:val="BodyText"/>
        <w:ind w:left="119" w:right="1295"/>
        <w:rPr>
          <w:sz w:val="16"/>
        </w:rPr>
      </w:pPr>
    </w:p>
    <w:p w:rsidR="00307368" w:rsidRDefault="00B03C27">
      <w:pPr>
        <w:pStyle w:val="BodyText"/>
        <w:spacing w:before="90"/>
        <w:ind w:left="120" w:right="375"/>
      </w:pPr>
      <w:r>
        <w:t>To determine which section of the Guidelines apply, you should ask the four following questions:</w:t>
      </w:r>
    </w:p>
    <w:p w:rsidR="00307368" w:rsidRDefault="00307368">
      <w:pPr>
        <w:pStyle w:val="BodyText"/>
        <w:spacing w:before="2"/>
      </w:pPr>
    </w:p>
    <w:p w:rsidR="00307368" w:rsidRDefault="00B03C27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Is rDNA to be put in an</w:t>
      </w:r>
      <w:r>
        <w:rPr>
          <w:spacing w:val="-10"/>
          <w:sz w:val="24"/>
        </w:rPr>
        <w:t xml:space="preserve"> </w:t>
      </w:r>
      <w:r>
        <w:rPr>
          <w:sz w:val="24"/>
        </w:rPr>
        <w:t>organism?</w:t>
      </w:r>
    </w:p>
    <w:p w:rsidR="00307368" w:rsidRDefault="00B03C27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What is the nature of the gene(s) to be</w:t>
      </w:r>
      <w:r>
        <w:rPr>
          <w:spacing w:val="-9"/>
          <w:sz w:val="24"/>
        </w:rPr>
        <w:t xml:space="preserve"> </w:t>
      </w:r>
      <w:r>
        <w:rPr>
          <w:sz w:val="24"/>
        </w:rPr>
        <w:t>cloned?</w:t>
      </w:r>
    </w:p>
    <w:p w:rsidR="00307368" w:rsidRDefault="00B03C27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What is the nature of the host and vector to be</w:t>
      </w:r>
      <w:r>
        <w:rPr>
          <w:spacing w:val="-12"/>
          <w:sz w:val="24"/>
        </w:rPr>
        <w:t xml:space="preserve"> </w:t>
      </w:r>
      <w:r>
        <w:rPr>
          <w:sz w:val="24"/>
        </w:rPr>
        <w:t>used?</w:t>
      </w:r>
    </w:p>
    <w:p w:rsidR="00307368" w:rsidRDefault="00B03C27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Does the experiment involve cultures of more than 10</w:t>
      </w:r>
      <w:r>
        <w:rPr>
          <w:spacing w:val="-10"/>
          <w:sz w:val="24"/>
        </w:rPr>
        <w:t xml:space="preserve"> </w:t>
      </w:r>
      <w:r>
        <w:rPr>
          <w:sz w:val="24"/>
        </w:rPr>
        <w:t>liters?</w:t>
      </w:r>
    </w:p>
    <w:p w:rsidR="00307368" w:rsidRDefault="00307368">
      <w:pPr>
        <w:pStyle w:val="BodyText"/>
        <w:spacing w:before="4"/>
      </w:pPr>
    </w:p>
    <w:p w:rsidR="00307368" w:rsidRDefault="00B03C27">
      <w:pPr>
        <w:pStyle w:val="Heading1"/>
        <w:numPr>
          <w:ilvl w:val="0"/>
          <w:numId w:val="4"/>
        </w:numPr>
        <w:tabs>
          <w:tab w:val="left" w:pos="399"/>
        </w:tabs>
        <w:ind w:right="989" w:firstLine="0"/>
      </w:pPr>
      <w:r>
        <w:t>Do you intend to put recombinant DNA into another organism</w:t>
      </w:r>
      <w:r>
        <w:rPr>
          <w:spacing w:val="-11"/>
        </w:rPr>
        <w:t xml:space="preserve"> </w:t>
      </w:r>
      <w:r>
        <w:t>- bacteria or other cells (i.e., clone</w:t>
      </w:r>
      <w:r>
        <w:rPr>
          <w:spacing w:val="-10"/>
        </w:rPr>
        <w:t xml:space="preserve"> </w:t>
      </w:r>
      <w:r>
        <w:t>it)?</w:t>
      </w:r>
    </w:p>
    <w:p w:rsidR="00307368" w:rsidRDefault="00307368">
      <w:pPr>
        <w:pStyle w:val="BodyText"/>
        <w:rPr>
          <w:rFonts w:ascii="Arial"/>
          <w:b/>
        </w:rPr>
      </w:pPr>
    </w:p>
    <w:p w:rsidR="00307368" w:rsidRDefault="00B03C27">
      <w:pPr>
        <w:pStyle w:val="BodyText"/>
        <w:spacing w:before="1"/>
        <w:ind w:left="120"/>
      </w:pPr>
      <w:r>
        <w:t>YES</w:t>
      </w:r>
    </w:p>
    <w:p w:rsidR="00307368" w:rsidRDefault="00827406">
      <w:pPr>
        <w:pStyle w:val="BodyText"/>
        <w:spacing w:before="1"/>
        <w:ind w:left="120"/>
      </w:pPr>
      <w:r>
        <w:t>Please see question two.</w:t>
      </w:r>
    </w:p>
    <w:p w:rsidR="00307368" w:rsidRDefault="00307368">
      <w:pPr>
        <w:pStyle w:val="BodyText"/>
        <w:spacing w:before="2"/>
      </w:pPr>
    </w:p>
    <w:p w:rsidR="00307368" w:rsidRDefault="00B03C27">
      <w:pPr>
        <w:pStyle w:val="BodyText"/>
        <w:ind w:left="120" w:right="1474"/>
      </w:pPr>
      <w:r>
        <w:t>NO—I am only using PCR or an olig</w:t>
      </w:r>
      <w:r w:rsidR="00827406">
        <w:t xml:space="preserve">onucleotide synthesizer to make </w:t>
      </w:r>
      <w:r>
        <w:t>DNA</w:t>
      </w:r>
      <w:r w:rsidR="00827406">
        <w:t>, therefore t</w:t>
      </w:r>
      <w:r>
        <w:t>he</w:t>
      </w:r>
      <w:r w:rsidR="00827406">
        <w:t xml:space="preserve"> experiment is exempt. Section </w:t>
      </w:r>
      <w:r>
        <w:t>III-F-1</w:t>
      </w:r>
    </w:p>
    <w:p w:rsidR="00307368" w:rsidRDefault="00307368">
      <w:pPr>
        <w:pStyle w:val="BodyText"/>
        <w:spacing w:before="2"/>
      </w:pPr>
    </w:p>
    <w:p w:rsidR="0053533B" w:rsidRDefault="00827406" w:rsidP="0053533B">
      <w:pPr>
        <w:pStyle w:val="BodyText"/>
        <w:ind w:right="782" w:firstLine="720"/>
      </w:pPr>
      <w:r>
        <w:t>**</w:t>
      </w:r>
      <w:r w:rsidR="00B03C27">
        <w:t>NOTE: Even “exempt experiments”</w:t>
      </w:r>
      <w:r w:rsidR="0053533B">
        <w:t xml:space="preserve"> should be performed under BL-1</w:t>
      </w:r>
    </w:p>
    <w:p w:rsidR="00307368" w:rsidRDefault="00B03C27" w:rsidP="0053533B">
      <w:pPr>
        <w:pStyle w:val="BodyText"/>
        <w:ind w:right="782" w:firstLine="720"/>
      </w:pPr>
      <w:r>
        <w:t>containment conditions.</w:t>
      </w:r>
    </w:p>
    <w:p w:rsidR="00307368" w:rsidRDefault="00307368">
      <w:pPr>
        <w:pStyle w:val="BodyText"/>
        <w:spacing w:before="4"/>
      </w:pPr>
    </w:p>
    <w:p w:rsidR="00307368" w:rsidRDefault="00B03C27">
      <w:pPr>
        <w:pStyle w:val="Heading1"/>
        <w:numPr>
          <w:ilvl w:val="0"/>
          <w:numId w:val="4"/>
        </w:numPr>
        <w:tabs>
          <w:tab w:val="left" w:pos="399"/>
        </w:tabs>
        <w:spacing w:before="1"/>
        <w:ind w:left="398" w:hanging="278"/>
      </w:pPr>
      <w:r>
        <w:t>What is the nature of the DNA to be</w:t>
      </w:r>
      <w:r>
        <w:rPr>
          <w:spacing w:val="-7"/>
        </w:rPr>
        <w:t xml:space="preserve"> </w:t>
      </w:r>
      <w:r>
        <w:t>cloned?</w:t>
      </w:r>
    </w:p>
    <w:p w:rsidR="00307368" w:rsidRDefault="00307368">
      <w:pPr>
        <w:pStyle w:val="BodyText"/>
        <w:spacing w:before="1"/>
        <w:rPr>
          <w:rFonts w:ascii="Arial"/>
          <w:b/>
        </w:rPr>
      </w:pPr>
    </w:p>
    <w:p w:rsidR="00307368" w:rsidRDefault="00B03C27" w:rsidP="00827406">
      <w:pPr>
        <w:pStyle w:val="BodyText"/>
        <w:ind w:left="120" w:right="336"/>
      </w:pPr>
      <w:r>
        <w:t>It produces a TOXIN molecule that is lethal for vertebrates at an LD50 of less than 100 ng/kg body weight</w:t>
      </w:r>
      <w:r w:rsidR="00827406">
        <w:t xml:space="preserve">.  </w:t>
      </w:r>
      <w:r>
        <w:t>This is a Section III-B experiment</w:t>
      </w:r>
      <w:r w:rsidR="00827406">
        <w:t>,</w:t>
      </w:r>
      <w:r>
        <w:t xml:space="preserve"> which requires direct NIH/ORDA approval</w:t>
      </w:r>
      <w:r w:rsidR="00827406">
        <w:t>.</w:t>
      </w:r>
    </w:p>
    <w:p w:rsidR="00307368" w:rsidRDefault="00307368">
      <w:pPr>
        <w:pStyle w:val="BodyText"/>
        <w:spacing w:before="2"/>
      </w:pPr>
    </w:p>
    <w:p w:rsidR="00307368" w:rsidRDefault="00827406" w:rsidP="00827406">
      <w:pPr>
        <w:pStyle w:val="BodyText"/>
        <w:spacing w:before="1"/>
        <w:ind w:left="120"/>
      </w:pPr>
      <w:r>
        <w:t>I</w:t>
      </w:r>
      <w:r w:rsidR="00B03C27">
        <w:t xml:space="preserve">t is from RISK GROUP 2, 3, 4, or </w:t>
      </w:r>
      <w:r>
        <w:t xml:space="preserve">a </w:t>
      </w:r>
      <w:r w:rsidR="00B03C27">
        <w:t>restricted agent</w:t>
      </w:r>
      <w:r>
        <w:t xml:space="preserve">.  This experiment </w:t>
      </w:r>
      <w:r w:rsidR="00B03C27">
        <w:t>will fall under Section III-D-2, or Section III-F</w:t>
      </w:r>
      <w:r>
        <w:t>.  Please continue to question three.</w:t>
      </w:r>
    </w:p>
    <w:p w:rsidR="00307368" w:rsidRDefault="00307368">
      <w:pPr>
        <w:sectPr w:rsidR="00307368">
          <w:footerReference w:type="default" r:id="rId8"/>
          <w:type w:val="continuous"/>
          <w:pgSz w:w="12240" w:h="15840"/>
          <w:pgMar w:top="1380" w:right="1700" w:bottom="280" w:left="1680" w:header="720" w:footer="720" w:gutter="0"/>
          <w:cols w:space="720"/>
        </w:sectPr>
      </w:pPr>
    </w:p>
    <w:p w:rsidR="00307368" w:rsidRDefault="00B03C27">
      <w:pPr>
        <w:pStyle w:val="BodyText"/>
        <w:spacing w:before="78"/>
        <w:ind w:left="100"/>
      </w:pPr>
      <w:r>
        <w:lastRenderedPageBreak/>
        <w:t>NONE OF THE ABOVE - continue for additional information</w:t>
      </w:r>
    </w:p>
    <w:p w:rsidR="00307368" w:rsidRDefault="00307368">
      <w:pPr>
        <w:pStyle w:val="BodyText"/>
        <w:spacing w:before="5"/>
      </w:pPr>
    </w:p>
    <w:p w:rsidR="00307368" w:rsidRDefault="00827406">
      <w:pPr>
        <w:pStyle w:val="Heading1"/>
        <w:numPr>
          <w:ilvl w:val="0"/>
          <w:numId w:val="4"/>
        </w:numPr>
        <w:tabs>
          <w:tab w:val="left" w:pos="378"/>
        </w:tabs>
        <w:ind w:left="378" w:hanging="278"/>
      </w:pPr>
      <w:r>
        <w:t>What is (are) the host(s)</w:t>
      </w:r>
      <w:r w:rsidR="00B03C27">
        <w:t>/vector(s)?</w:t>
      </w:r>
    </w:p>
    <w:p w:rsidR="00307368" w:rsidRDefault="00307368">
      <w:pPr>
        <w:pStyle w:val="BodyText"/>
        <w:spacing w:before="2"/>
        <w:rPr>
          <w:rFonts w:ascii="Arial"/>
          <w:b/>
        </w:rPr>
      </w:pPr>
    </w:p>
    <w:p w:rsidR="00307368" w:rsidRDefault="00B03C27">
      <w:pPr>
        <w:pStyle w:val="BodyText"/>
        <w:ind w:left="100"/>
      </w:pPr>
      <w:r>
        <w:t>IF ALL HOSTS TO BE USED ARE:</w:t>
      </w:r>
    </w:p>
    <w:p w:rsidR="00307368" w:rsidRDefault="00307368">
      <w:pPr>
        <w:pStyle w:val="BodyText"/>
        <w:spacing w:before="4"/>
      </w:pPr>
    </w:p>
    <w:p w:rsidR="00307368" w:rsidRDefault="00B03C27">
      <w:pPr>
        <w:pStyle w:val="ListParagraph"/>
        <w:numPr>
          <w:ilvl w:val="1"/>
          <w:numId w:val="4"/>
        </w:numPr>
        <w:tabs>
          <w:tab w:val="left" w:pos="819"/>
          <w:tab w:val="left" w:pos="820"/>
        </w:tabs>
        <w:spacing w:line="482" w:lineRule="auto"/>
        <w:ind w:right="3218"/>
        <w:rPr>
          <w:sz w:val="24"/>
        </w:rPr>
      </w:pPr>
      <w:r>
        <w:rPr>
          <w:sz w:val="24"/>
        </w:rPr>
        <w:t>Non-pathogenic laboratory strains of E. coli K-12 OR</w:t>
      </w:r>
    </w:p>
    <w:p w:rsidR="00307368" w:rsidRDefault="00B03C27">
      <w:pPr>
        <w:pStyle w:val="ListParagraph"/>
        <w:numPr>
          <w:ilvl w:val="1"/>
          <w:numId w:val="4"/>
        </w:numPr>
        <w:tabs>
          <w:tab w:val="left" w:pos="819"/>
          <w:tab w:val="left" w:pos="820"/>
        </w:tabs>
        <w:spacing w:before="10" w:line="482" w:lineRule="auto"/>
        <w:ind w:right="3413"/>
        <w:rPr>
          <w:sz w:val="24"/>
        </w:rPr>
      </w:pPr>
      <w:r>
        <w:rPr>
          <w:sz w:val="24"/>
        </w:rPr>
        <w:t>Laboratory strains of Saccharomyces cerevisiae OR</w:t>
      </w:r>
    </w:p>
    <w:p w:rsidR="00307368" w:rsidRDefault="00B03C27">
      <w:pPr>
        <w:pStyle w:val="ListParagraph"/>
        <w:numPr>
          <w:ilvl w:val="1"/>
          <w:numId w:val="4"/>
        </w:numPr>
        <w:tabs>
          <w:tab w:val="left" w:pos="819"/>
          <w:tab w:val="left" w:pos="820"/>
        </w:tabs>
        <w:spacing w:before="11"/>
        <w:rPr>
          <w:sz w:val="24"/>
        </w:rPr>
      </w:pPr>
      <w:r>
        <w:rPr>
          <w:sz w:val="24"/>
        </w:rPr>
        <w:t>Cultured cell lines (not expressing viral</w:t>
      </w:r>
      <w:r>
        <w:rPr>
          <w:spacing w:val="-2"/>
          <w:sz w:val="24"/>
        </w:rPr>
        <w:t xml:space="preserve"> </w:t>
      </w:r>
      <w:r>
        <w:rPr>
          <w:sz w:val="24"/>
        </w:rPr>
        <w:t>genes)</w:t>
      </w:r>
    </w:p>
    <w:p w:rsidR="00307368" w:rsidRDefault="00307368">
      <w:pPr>
        <w:pStyle w:val="BodyText"/>
        <w:spacing w:before="1"/>
      </w:pPr>
    </w:p>
    <w:p w:rsidR="00307368" w:rsidRDefault="00B03C27">
      <w:pPr>
        <w:pStyle w:val="BodyText"/>
        <w:ind w:left="100" w:right="515"/>
      </w:pPr>
      <w:r>
        <w:t>The experiment may be exempt (</w:t>
      </w:r>
      <w:r w:rsidR="0053533B">
        <w:t xml:space="preserve">Section </w:t>
      </w:r>
      <w:r>
        <w:t>III-F-6), IF it does NOT involve cloning genes from Risk Group 2, 3, 4, OR restricted agents, OR viral genes.</w:t>
      </w:r>
    </w:p>
    <w:p w:rsidR="00307368" w:rsidRDefault="00307368">
      <w:pPr>
        <w:pStyle w:val="BodyText"/>
        <w:spacing w:before="1"/>
      </w:pPr>
    </w:p>
    <w:p w:rsidR="00307368" w:rsidRDefault="00B03C27">
      <w:pPr>
        <w:pStyle w:val="BodyText"/>
        <w:ind w:left="100" w:right="629"/>
      </w:pPr>
      <w:r>
        <w:t>It may also be exempt if all components of the rDNA molecule come from the same species (</w:t>
      </w:r>
      <w:r w:rsidR="0053533B">
        <w:t xml:space="preserve">Section </w:t>
      </w:r>
      <w:r>
        <w:t>III-F-3 or –4), or from species that naturally exchange DNA (</w:t>
      </w:r>
      <w:r w:rsidR="0053533B">
        <w:t xml:space="preserve">Section </w:t>
      </w:r>
      <w:r>
        <w:t>III-F-5).</w:t>
      </w:r>
    </w:p>
    <w:p w:rsidR="00307368" w:rsidRDefault="00307368">
      <w:pPr>
        <w:pStyle w:val="BodyText"/>
        <w:spacing w:before="5"/>
      </w:pPr>
    </w:p>
    <w:p w:rsidR="00307368" w:rsidRDefault="00B03C27" w:rsidP="001D135E">
      <w:pPr>
        <w:pStyle w:val="Heading1"/>
        <w:ind w:left="100" w:firstLine="620"/>
      </w:pPr>
      <w:r>
        <w:t>3</w:t>
      </w:r>
      <w:r w:rsidR="00BC10E9">
        <w:t>.1</w:t>
      </w:r>
      <w:r w:rsidR="0053533B">
        <w:t>. What is (are) the host(s)</w:t>
      </w:r>
      <w:r>
        <w:t>/vector(s)?</w:t>
      </w:r>
    </w:p>
    <w:p w:rsidR="00307368" w:rsidRDefault="00307368">
      <w:pPr>
        <w:pStyle w:val="BodyText"/>
        <w:rPr>
          <w:rFonts w:ascii="Arial"/>
          <w:b/>
        </w:rPr>
      </w:pPr>
    </w:p>
    <w:p w:rsidR="00307368" w:rsidRDefault="001D135E">
      <w:pPr>
        <w:pStyle w:val="BodyText"/>
        <w:ind w:left="100" w:right="1813"/>
      </w:pPr>
      <w:r>
        <w:t xml:space="preserve">IF </w:t>
      </w:r>
      <w:r w:rsidR="0053533B">
        <w:t>A HOST OR VECTOR is in</w:t>
      </w:r>
      <w:r w:rsidR="00B03C27">
        <w:t xml:space="preserve"> Risk Group 2, 3, 4, or </w:t>
      </w:r>
      <w:r w:rsidR="0053533B">
        <w:t xml:space="preserve">a </w:t>
      </w:r>
      <w:r w:rsidR="00B03C27">
        <w:t>Restricted Agent Section III-D-1 applies</w:t>
      </w:r>
      <w:r w:rsidR="0053533B">
        <w:t>.</w:t>
      </w:r>
    </w:p>
    <w:p w:rsidR="00307368" w:rsidRDefault="00307368">
      <w:pPr>
        <w:pStyle w:val="BodyText"/>
        <w:spacing w:before="1"/>
      </w:pPr>
    </w:p>
    <w:p w:rsidR="00307368" w:rsidRDefault="001D135E">
      <w:pPr>
        <w:pStyle w:val="BodyText"/>
        <w:ind w:left="100" w:right="247"/>
      </w:pPr>
      <w:r>
        <w:t>IF AN</w:t>
      </w:r>
      <w:r w:rsidR="00B03C27">
        <w:t xml:space="preserve"> INFECTIOUS VIRUS is being used as a vector OR a DEFECTIVE VIRUS is being used in the presence of a helper virus or helper cells (e.g., 293 cells)</w:t>
      </w:r>
    </w:p>
    <w:p w:rsidR="00307368" w:rsidRDefault="00B03C27">
      <w:pPr>
        <w:pStyle w:val="BodyText"/>
        <w:ind w:left="100"/>
      </w:pPr>
      <w:r>
        <w:t>Section III-D-3 applies</w:t>
      </w:r>
      <w:r w:rsidR="0053533B">
        <w:t>.</w:t>
      </w:r>
    </w:p>
    <w:p w:rsidR="00307368" w:rsidRDefault="00307368">
      <w:pPr>
        <w:pStyle w:val="BodyText"/>
        <w:spacing w:before="4"/>
      </w:pPr>
    </w:p>
    <w:p w:rsidR="00307368" w:rsidRDefault="001D135E" w:rsidP="00BC10E9">
      <w:pPr>
        <w:pStyle w:val="Heading1"/>
        <w:tabs>
          <w:tab w:val="left" w:pos="378"/>
        </w:tabs>
        <w:ind w:left="100"/>
      </w:pPr>
      <w:r>
        <w:tab/>
      </w:r>
      <w:r>
        <w:tab/>
      </w:r>
      <w:r w:rsidR="00BC10E9">
        <w:t xml:space="preserve">3.2. </w:t>
      </w:r>
      <w:r w:rsidR="0053533B">
        <w:t>What is (are) the host(s)</w:t>
      </w:r>
      <w:r w:rsidR="00B03C27">
        <w:t>/vector(s)?</w:t>
      </w:r>
    </w:p>
    <w:p w:rsidR="00307368" w:rsidRDefault="00307368">
      <w:pPr>
        <w:pStyle w:val="BodyText"/>
        <w:rPr>
          <w:rFonts w:ascii="Arial"/>
          <w:b/>
        </w:rPr>
      </w:pPr>
    </w:p>
    <w:p w:rsidR="0053533B" w:rsidRDefault="001D135E" w:rsidP="0053533B">
      <w:pPr>
        <w:pStyle w:val="BodyText"/>
        <w:ind w:left="100" w:right="178"/>
      </w:pPr>
      <w:r>
        <w:t xml:space="preserve">IF </w:t>
      </w:r>
      <w:r w:rsidR="00B03C27">
        <w:t>ANIMALS are to be used — either transgenic animals OR animals as hosts to test viable rDNA-modified microorganisms</w:t>
      </w:r>
      <w:r w:rsidR="0053533B">
        <w:t>.  Section III-D-4 applies.</w:t>
      </w:r>
    </w:p>
    <w:p w:rsidR="0053533B" w:rsidRDefault="0053533B" w:rsidP="0053533B">
      <w:pPr>
        <w:pStyle w:val="BodyText"/>
        <w:ind w:left="100" w:right="178" w:firstLine="620"/>
      </w:pPr>
    </w:p>
    <w:p w:rsidR="0053533B" w:rsidRDefault="00B03C27" w:rsidP="0053533B">
      <w:pPr>
        <w:pStyle w:val="BodyText"/>
        <w:ind w:left="100" w:right="178" w:firstLine="620"/>
      </w:pPr>
      <w:r>
        <w:t>**</w:t>
      </w:r>
      <w:r w:rsidR="0053533B">
        <w:t xml:space="preserve">NOTE:  The </w:t>
      </w:r>
      <w:r>
        <w:t>box on the IBC form indicating use of animals must be checked</w:t>
      </w:r>
    </w:p>
    <w:p w:rsidR="00307368" w:rsidRDefault="00B03C27" w:rsidP="0053533B">
      <w:pPr>
        <w:pStyle w:val="BodyText"/>
        <w:ind w:left="100" w:right="178" w:firstLine="620"/>
      </w:pPr>
      <w:r>
        <w:t>and an IACUC form must be completed if vertebrate animals are to be used</w:t>
      </w:r>
      <w:r w:rsidR="0053533B">
        <w:t>.</w:t>
      </w:r>
    </w:p>
    <w:p w:rsidR="00307368" w:rsidRDefault="00307368">
      <w:pPr>
        <w:pStyle w:val="BodyText"/>
        <w:spacing w:before="3"/>
      </w:pPr>
    </w:p>
    <w:p w:rsidR="0053533B" w:rsidRDefault="00B03C27" w:rsidP="0053533B">
      <w:pPr>
        <w:pStyle w:val="BodyText"/>
        <w:numPr>
          <w:ilvl w:val="0"/>
          <w:numId w:val="6"/>
        </w:numPr>
        <w:ind w:right="175"/>
      </w:pPr>
      <w:r>
        <w:t>Section III-D-4-a: introduction of DNA other than two-thirds of eukaryotic viral genome into a non-human animal</w:t>
      </w:r>
      <w:r w:rsidR="0053533B">
        <w:t>;</w:t>
      </w:r>
      <w:r w:rsidR="0053533B">
        <w:br/>
      </w:r>
    </w:p>
    <w:p w:rsidR="0053533B" w:rsidRDefault="00B03C27" w:rsidP="0053533B">
      <w:pPr>
        <w:pStyle w:val="BodyText"/>
        <w:numPr>
          <w:ilvl w:val="0"/>
          <w:numId w:val="6"/>
        </w:numPr>
        <w:ind w:right="175"/>
      </w:pPr>
      <w:r w:rsidRPr="0053533B">
        <w:t>Section III-D-4-b: includes introduction of larger viral segments; does not include R</w:t>
      </w:r>
      <w:r w:rsidR="0053533B">
        <w:t xml:space="preserve">isk </w:t>
      </w:r>
      <w:r w:rsidRPr="0053533B">
        <w:t>G</w:t>
      </w:r>
      <w:r w:rsidR="0053533B">
        <w:t>roup</w:t>
      </w:r>
      <w:r w:rsidRPr="0053533B">
        <w:t xml:space="preserve"> 2, 3, 4 or restricted</w:t>
      </w:r>
      <w:r w:rsidRPr="0053533B">
        <w:rPr>
          <w:spacing w:val="-6"/>
        </w:rPr>
        <w:t xml:space="preserve"> </w:t>
      </w:r>
      <w:r w:rsidRPr="0053533B">
        <w:t>agents</w:t>
      </w:r>
      <w:r w:rsidR="0053533B">
        <w:t>;</w:t>
      </w:r>
      <w:r w:rsidR="0053533B">
        <w:br/>
      </w:r>
    </w:p>
    <w:p w:rsidR="00307368" w:rsidRPr="0053533B" w:rsidRDefault="00B03C27" w:rsidP="0053533B">
      <w:pPr>
        <w:pStyle w:val="BodyText"/>
        <w:numPr>
          <w:ilvl w:val="0"/>
          <w:numId w:val="6"/>
        </w:numPr>
        <w:ind w:right="175"/>
      </w:pPr>
      <w:r w:rsidRPr="0053533B">
        <w:t>Section III-D-4-c: exceptions for transgenic rodents (see</w:t>
      </w:r>
      <w:r w:rsidR="0053533B">
        <w:t xml:space="preserve"> Section</w:t>
      </w:r>
      <w:r w:rsidRPr="0053533B">
        <w:rPr>
          <w:spacing w:val="-11"/>
        </w:rPr>
        <w:t xml:space="preserve"> </w:t>
      </w:r>
      <w:r w:rsidRPr="0053533B">
        <w:t>III-E-3)</w:t>
      </w:r>
      <w:r w:rsidR="0053533B">
        <w:t>.</w:t>
      </w:r>
    </w:p>
    <w:p w:rsidR="00307368" w:rsidRDefault="00307368">
      <w:pPr>
        <w:rPr>
          <w:sz w:val="24"/>
        </w:rPr>
        <w:sectPr w:rsidR="00307368">
          <w:pgSz w:w="12240" w:h="15840"/>
          <w:pgMar w:top="1360" w:right="1720" w:bottom="280" w:left="1700" w:header="720" w:footer="720" w:gutter="0"/>
          <w:cols w:space="720"/>
        </w:sectPr>
      </w:pPr>
    </w:p>
    <w:p w:rsidR="00307368" w:rsidRDefault="00B03C27" w:rsidP="001D135E">
      <w:pPr>
        <w:pStyle w:val="Heading1"/>
        <w:ind w:left="0" w:firstLine="720"/>
      </w:pPr>
      <w:r>
        <w:lastRenderedPageBreak/>
        <w:t>3.</w:t>
      </w:r>
      <w:r w:rsidR="00BC10E9">
        <w:t>3.</w:t>
      </w:r>
      <w:r w:rsidR="0053533B">
        <w:t xml:space="preserve"> What is (are) the host(s)/</w:t>
      </w:r>
      <w:r>
        <w:t>vector(s)?</w:t>
      </w:r>
    </w:p>
    <w:p w:rsidR="00307368" w:rsidRDefault="00307368">
      <w:pPr>
        <w:pStyle w:val="BodyText"/>
        <w:spacing w:before="1"/>
        <w:rPr>
          <w:rFonts w:ascii="Arial"/>
          <w:b/>
        </w:rPr>
      </w:pPr>
    </w:p>
    <w:p w:rsidR="001D135E" w:rsidRDefault="00B03C27" w:rsidP="001D135E">
      <w:r>
        <w:t>IF PLANTS are</w:t>
      </w:r>
      <w:r w:rsidR="001D135E">
        <w:t xml:space="preserve"> to be used — transgenic plants </w:t>
      </w:r>
      <w:r w:rsidR="0053533B">
        <w:t xml:space="preserve">OR </w:t>
      </w:r>
      <w:r>
        <w:t>plants t</w:t>
      </w:r>
      <w:r w:rsidR="0053533B">
        <w:t>o be used to test rDNA-modified</w:t>
      </w:r>
      <w:r w:rsidR="001D135E">
        <w:t xml:space="preserve"> </w:t>
      </w:r>
      <w:r>
        <w:t>microorganisms or insects</w:t>
      </w:r>
      <w:r w:rsidR="001D135E">
        <w:t>:</w:t>
      </w:r>
    </w:p>
    <w:p w:rsidR="001D135E" w:rsidRDefault="001D135E" w:rsidP="001D135E"/>
    <w:p w:rsidR="00307368" w:rsidRDefault="001D135E" w:rsidP="001D135E">
      <w:r>
        <w:t xml:space="preserve">Section III-D-5 applies: </w:t>
      </w:r>
      <w:r w:rsidR="00B03C27">
        <w:t>if experiments will employ exotic infectious agents that may have serious detrimental impact on managed or natural ecosystems</w:t>
      </w:r>
    </w:p>
    <w:p w:rsidR="00307368" w:rsidRDefault="00307368">
      <w:pPr>
        <w:pStyle w:val="BodyText"/>
        <w:spacing w:before="2"/>
      </w:pPr>
    </w:p>
    <w:p w:rsidR="00307368" w:rsidRDefault="001D135E" w:rsidP="001D135E">
      <w:pPr>
        <w:pStyle w:val="BodyText"/>
        <w:ind w:right="1202"/>
      </w:pPr>
      <w:r>
        <w:t xml:space="preserve">Section III-E-2-a </w:t>
      </w:r>
      <w:r w:rsidR="00B03C27">
        <w:t>applies: for r-DNA modified plants that are not noxious weeds or for experiments with plan</w:t>
      </w:r>
      <w:r>
        <w:t xml:space="preserve">ts and rDNA-modified non-exotic </w:t>
      </w:r>
      <w:bookmarkStart w:id="0" w:name="_GoBack"/>
      <w:bookmarkEnd w:id="0"/>
      <w:r w:rsidR="00B03C27">
        <w:t>microorganisms</w:t>
      </w:r>
    </w:p>
    <w:p w:rsidR="00307368" w:rsidRPr="001D135E" w:rsidRDefault="00307368" w:rsidP="001D135E">
      <w:pPr>
        <w:tabs>
          <w:tab w:val="left" w:pos="341"/>
        </w:tabs>
        <w:rPr>
          <w:sz w:val="24"/>
        </w:rPr>
      </w:pPr>
    </w:p>
    <w:p w:rsidR="00307368" w:rsidRDefault="001D135E" w:rsidP="001D135E">
      <w:pPr>
        <w:pStyle w:val="BodyText"/>
        <w:spacing w:before="8" w:line="482" w:lineRule="auto"/>
        <w:ind w:right="2305"/>
      </w:pPr>
      <w:r>
        <w:t xml:space="preserve">Section </w:t>
      </w:r>
      <w:r w:rsidR="00B03C27">
        <w:t>III-E-2-b applies</w:t>
      </w:r>
      <w:r>
        <w:t>:</w:t>
      </w:r>
      <w:r w:rsidR="00B03C27">
        <w:t xml:space="preserve"> for</w:t>
      </w:r>
    </w:p>
    <w:p w:rsidR="00307368" w:rsidRDefault="00B03C27">
      <w:pPr>
        <w:pStyle w:val="ListParagraph"/>
        <w:numPr>
          <w:ilvl w:val="0"/>
          <w:numId w:val="1"/>
        </w:numPr>
        <w:tabs>
          <w:tab w:val="left" w:pos="440"/>
        </w:tabs>
        <w:spacing w:before="12"/>
        <w:ind w:firstLine="0"/>
        <w:rPr>
          <w:sz w:val="24"/>
        </w:rPr>
      </w:pPr>
      <w:r>
        <w:rPr>
          <w:sz w:val="24"/>
        </w:rPr>
        <w:t>rDNA-modified noxious</w:t>
      </w:r>
      <w:r>
        <w:rPr>
          <w:spacing w:val="-1"/>
          <w:sz w:val="24"/>
        </w:rPr>
        <w:t xml:space="preserve"> </w:t>
      </w:r>
      <w:r>
        <w:rPr>
          <w:sz w:val="24"/>
        </w:rPr>
        <w:t>weeds;</w:t>
      </w:r>
    </w:p>
    <w:p w:rsidR="00307368" w:rsidRDefault="00B03C27">
      <w:pPr>
        <w:pStyle w:val="ListParagraph"/>
        <w:numPr>
          <w:ilvl w:val="0"/>
          <w:numId w:val="1"/>
        </w:numPr>
        <w:tabs>
          <w:tab w:val="left" w:pos="441"/>
        </w:tabs>
        <w:ind w:left="440"/>
        <w:rPr>
          <w:sz w:val="24"/>
        </w:rPr>
      </w:pPr>
      <w:r>
        <w:rPr>
          <w:sz w:val="24"/>
        </w:rPr>
        <w:t>plants modified by entire genomes of non-exotic infectious</w:t>
      </w:r>
      <w:r>
        <w:rPr>
          <w:spacing w:val="-7"/>
          <w:sz w:val="24"/>
        </w:rPr>
        <w:t xml:space="preserve"> </w:t>
      </w:r>
      <w:r>
        <w:rPr>
          <w:sz w:val="24"/>
        </w:rPr>
        <w:t>agents;</w:t>
      </w:r>
    </w:p>
    <w:p w:rsidR="00307368" w:rsidRDefault="00B03C27">
      <w:pPr>
        <w:pStyle w:val="ListParagraph"/>
        <w:numPr>
          <w:ilvl w:val="0"/>
          <w:numId w:val="1"/>
        </w:numPr>
        <w:tabs>
          <w:tab w:val="left" w:pos="440"/>
        </w:tabs>
        <w:ind w:right="118" w:firstLine="0"/>
        <w:rPr>
          <w:sz w:val="24"/>
        </w:rPr>
      </w:pPr>
      <w:r>
        <w:rPr>
          <w:sz w:val="24"/>
        </w:rPr>
        <w:t>plants associated with rDNA- modified nonexotic microorganisms with a potential for detrimental</w:t>
      </w:r>
      <w:r>
        <w:rPr>
          <w:spacing w:val="-5"/>
          <w:sz w:val="24"/>
        </w:rPr>
        <w:t xml:space="preserve"> </w:t>
      </w:r>
      <w:r>
        <w:rPr>
          <w:sz w:val="24"/>
        </w:rPr>
        <w:t>effects;</w:t>
      </w:r>
    </w:p>
    <w:p w:rsidR="00307368" w:rsidRDefault="00B03C27">
      <w:pPr>
        <w:pStyle w:val="ListParagraph"/>
        <w:numPr>
          <w:ilvl w:val="0"/>
          <w:numId w:val="1"/>
        </w:numPr>
        <w:tabs>
          <w:tab w:val="left" w:pos="440"/>
        </w:tabs>
        <w:ind w:left="439" w:hanging="339"/>
        <w:rPr>
          <w:sz w:val="24"/>
        </w:rPr>
      </w:pPr>
      <w:r>
        <w:rPr>
          <w:sz w:val="24"/>
        </w:rPr>
        <w:t>plants associated with rDNA modified exotic</w:t>
      </w:r>
      <w:r>
        <w:rPr>
          <w:spacing w:val="-7"/>
          <w:sz w:val="24"/>
        </w:rPr>
        <w:t xml:space="preserve"> </w:t>
      </w:r>
      <w:r>
        <w:rPr>
          <w:sz w:val="24"/>
        </w:rPr>
        <w:t>microorganisms;</w:t>
      </w:r>
    </w:p>
    <w:p w:rsidR="00307368" w:rsidRDefault="00B03C27">
      <w:pPr>
        <w:pStyle w:val="ListParagraph"/>
        <w:numPr>
          <w:ilvl w:val="0"/>
          <w:numId w:val="1"/>
        </w:numPr>
        <w:tabs>
          <w:tab w:val="left" w:pos="440"/>
        </w:tabs>
        <w:ind w:right="1152" w:firstLine="0"/>
        <w:rPr>
          <w:sz w:val="24"/>
        </w:rPr>
      </w:pPr>
      <w:r>
        <w:rPr>
          <w:sz w:val="24"/>
        </w:rPr>
        <w:t>experiments with rDNA- modified arthropods or small animals or modified microorganisms associated with arthropods or small</w:t>
      </w:r>
      <w:r>
        <w:rPr>
          <w:spacing w:val="-9"/>
          <w:sz w:val="24"/>
        </w:rPr>
        <w:t xml:space="preserve"> </w:t>
      </w:r>
      <w:r>
        <w:rPr>
          <w:sz w:val="24"/>
        </w:rPr>
        <w:t>animals</w:t>
      </w:r>
    </w:p>
    <w:p w:rsidR="00307368" w:rsidRDefault="00307368">
      <w:pPr>
        <w:pStyle w:val="BodyText"/>
        <w:spacing w:before="5"/>
      </w:pPr>
    </w:p>
    <w:p w:rsidR="00307368" w:rsidRDefault="00B03C27" w:rsidP="001D135E">
      <w:pPr>
        <w:pStyle w:val="Heading1"/>
        <w:numPr>
          <w:ilvl w:val="0"/>
          <w:numId w:val="4"/>
        </w:numPr>
        <w:tabs>
          <w:tab w:val="left" w:pos="379"/>
        </w:tabs>
      </w:pPr>
      <w:r>
        <w:t>Does the experiment involve cultures of more than 10</w:t>
      </w:r>
      <w:r>
        <w:rPr>
          <w:spacing w:val="-11"/>
        </w:rPr>
        <w:t xml:space="preserve"> </w:t>
      </w:r>
      <w:r>
        <w:t>liters?</w:t>
      </w:r>
    </w:p>
    <w:p w:rsidR="00307368" w:rsidRDefault="00307368">
      <w:pPr>
        <w:pStyle w:val="BodyText"/>
        <w:spacing w:before="2"/>
        <w:rPr>
          <w:rFonts w:ascii="Arial"/>
          <w:b/>
        </w:rPr>
      </w:pPr>
    </w:p>
    <w:p w:rsidR="00307368" w:rsidRDefault="00B03C27" w:rsidP="001D135E">
      <w:pPr>
        <w:pStyle w:val="BodyText"/>
        <w:ind w:left="100"/>
      </w:pPr>
      <w:r>
        <w:t>YES</w:t>
      </w:r>
      <w:r w:rsidR="001D135E">
        <w:t xml:space="preserve">, </w:t>
      </w:r>
      <w:r>
        <w:t>Sec</w:t>
      </w:r>
      <w:r w:rsidR="001D135E">
        <w:t>tion III-D-6 applies.</w:t>
      </w:r>
    </w:p>
    <w:p w:rsidR="00307368" w:rsidRDefault="00307368">
      <w:pPr>
        <w:pStyle w:val="BodyText"/>
        <w:spacing w:before="2"/>
      </w:pPr>
    </w:p>
    <w:p w:rsidR="001D135E" w:rsidRDefault="001D135E" w:rsidP="001D135E">
      <w:pPr>
        <w:pStyle w:val="BodyText"/>
        <w:ind w:left="100" w:right="1174"/>
      </w:pPr>
    </w:p>
    <w:p w:rsidR="001D135E" w:rsidRDefault="00B03C27" w:rsidP="001D135E">
      <w:pPr>
        <w:pStyle w:val="BodyText"/>
        <w:ind w:left="100" w:right="1174"/>
      </w:pPr>
      <w:r>
        <w:t>Remember that the complet</w:t>
      </w:r>
      <w:r w:rsidR="001D135E">
        <w:t>e NIH Guidelines are</w:t>
      </w:r>
      <w:r>
        <w:t xml:space="preserve"> online at</w:t>
      </w:r>
      <w:r w:rsidR="001D135E">
        <w:t xml:space="preserve"> the following link:</w:t>
      </w:r>
      <w:r>
        <w:t xml:space="preserve"> </w:t>
      </w:r>
      <w:hyperlink r:id="rId9" w:history="1">
        <w:r w:rsidR="00AD20D6" w:rsidRPr="001D135E">
          <w:rPr>
            <w:rStyle w:val="Hyperlink"/>
          </w:rPr>
          <w:t>https://osp.od.nih.gov/wp-content/uploads/NIH_Guidelines.pdf</w:t>
        </w:r>
      </w:hyperlink>
    </w:p>
    <w:p w:rsidR="001D135E" w:rsidRDefault="001D135E" w:rsidP="001D135E">
      <w:pPr>
        <w:pStyle w:val="BodyText"/>
        <w:ind w:left="100" w:right="1174"/>
      </w:pPr>
    </w:p>
    <w:p w:rsidR="00307368" w:rsidRDefault="00B03C27" w:rsidP="001D135E">
      <w:pPr>
        <w:pStyle w:val="BodyText"/>
        <w:ind w:left="100" w:right="1174"/>
      </w:pPr>
      <w:r>
        <w:t>If you have difficulty determining the Section of the Guidelines that apply to your proposed rDNA activity,</w:t>
      </w:r>
      <w:r w:rsidR="00827406">
        <w:t xml:space="preserve"> </w:t>
      </w:r>
      <w:r>
        <w:t>contact the University Research Compliance Office or a member of the IBC for assistance</w:t>
      </w:r>
      <w:r w:rsidR="00827406">
        <w:t>.</w:t>
      </w:r>
    </w:p>
    <w:sectPr w:rsidR="00307368">
      <w:pgSz w:w="12240" w:h="15840"/>
      <w:pgMar w:top="136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34" w:rsidRDefault="00EA4134" w:rsidP="00591188">
      <w:r>
        <w:separator/>
      </w:r>
    </w:p>
  </w:endnote>
  <w:endnote w:type="continuationSeparator" w:id="0">
    <w:p w:rsidR="00EA4134" w:rsidRDefault="00EA4134" w:rsidP="0059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824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188" w:rsidRDefault="00591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188" w:rsidRDefault="00591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34" w:rsidRDefault="00EA4134" w:rsidP="00591188">
      <w:r>
        <w:separator/>
      </w:r>
    </w:p>
  </w:footnote>
  <w:footnote w:type="continuationSeparator" w:id="0">
    <w:p w:rsidR="00EA4134" w:rsidRDefault="00EA4134" w:rsidP="0059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0D5"/>
    <w:multiLevelType w:val="hybridMultilevel"/>
    <w:tmpl w:val="1D4E9FC0"/>
    <w:lvl w:ilvl="0" w:tplc="37D8E2E0">
      <w:start w:val="1"/>
      <w:numFmt w:val="decimal"/>
      <w:lvlText w:val="%1."/>
      <w:lvlJc w:val="left"/>
      <w:pPr>
        <w:ind w:left="120" w:hanging="279"/>
      </w:pPr>
      <w:rPr>
        <w:rFonts w:ascii="Arial" w:eastAsia="Arial" w:hAnsi="Arial" w:cs="Arial" w:hint="default"/>
        <w:b/>
        <w:bCs/>
        <w:w w:val="99"/>
        <w:sz w:val="25"/>
        <w:szCs w:val="25"/>
      </w:rPr>
    </w:lvl>
    <w:lvl w:ilvl="1" w:tplc="5E16F676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sz w:val="20"/>
        <w:szCs w:val="20"/>
      </w:rPr>
    </w:lvl>
    <w:lvl w:ilvl="2" w:tplc="AA8C3228"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8A6EFE5C"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D3F276F6"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2416D370"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FCCA9882"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393C1BE0"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E21CEEF8"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1" w15:restartNumberingAfterBreak="0">
    <w:nsid w:val="26D27597"/>
    <w:multiLevelType w:val="hybridMultilevel"/>
    <w:tmpl w:val="E9C84976"/>
    <w:lvl w:ilvl="0" w:tplc="99F85052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1"/>
        <w:sz w:val="20"/>
        <w:szCs w:val="20"/>
      </w:rPr>
    </w:lvl>
    <w:lvl w:ilvl="1" w:tplc="E042E70C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680634AE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7196FF80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69F66A9E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91E456D4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8542AF2C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CCEACF6C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142648F2"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2" w15:restartNumberingAfterBreak="0">
    <w:nsid w:val="3E0D44A8"/>
    <w:multiLevelType w:val="hybridMultilevel"/>
    <w:tmpl w:val="31EA5DA0"/>
    <w:lvl w:ilvl="0" w:tplc="34CE51AA">
      <w:start w:val="1"/>
      <w:numFmt w:val="decimal"/>
      <w:lvlText w:val="(%1)"/>
      <w:lvlJc w:val="left"/>
      <w:pPr>
        <w:ind w:left="100" w:hanging="3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0B421A4">
      <w:numFmt w:val="bullet"/>
      <w:lvlText w:val="•"/>
      <w:lvlJc w:val="left"/>
      <w:pPr>
        <w:ind w:left="974" w:hanging="340"/>
      </w:pPr>
      <w:rPr>
        <w:rFonts w:hint="default"/>
      </w:rPr>
    </w:lvl>
    <w:lvl w:ilvl="2" w:tplc="FC5C1C56">
      <w:numFmt w:val="bullet"/>
      <w:lvlText w:val="•"/>
      <w:lvlJc w:val="left"/>
      <w:pPr>
        <w:ind w:left="1848" w:hanging="340"/>
      </w:pPr>
      <w:rPr>
        <w:rFonts w:hint="default"/>
      </w:rPr>
    </w:lvl>
    <w:lvl w:ilvl="3" w:tplc="7876D642">
      <w:numFmt w:val="bullet"/>
      <w:lvlText w:val="•"/>
      <w:lvlJc w:val="left"/>
      <w:pPr>
        <w:ind w:left="2722" w:hanging="340"/>
      </w:pPr>
      <w:rPr>
        <w:rFonts w:hint="default"/>
      </w:rPr>
    </w:lvl>
    <w:lvl w:ilvl="4" w:tplc="57F271E8">
      <w:numFmt w:val="bullet"/>
      <w:lvlText w:val="•"/>
      <w:lvlJc w:val="left"/>
      <w:pPr>
        <w:ind w:left="3596" w:hanging="340"/>
      </w:pPr>
      <w:rPr>
        <w:rFonts w:hint="default"/>
      </w:rPr>
    </w:lvl>
    <w:lvl w:ilvl="5" w:tplc="603A162E">
      <w:numFmt w:val="bullet"/>
      <w:lvlText w:val="•"/>
      <w:lvlJc w:val="left"/>
      <w:pPr>
        <w:ind w:left="4470" w:hanging="340"/>
      </w:pPr>
      <w:rPr>
        <w:rFonts w:hint="default"/>
      </w:rPr>
    </w:lvl>
    <w:lvl w:ilvl="6" w:tplc="610EEBDA">
      <w:numFmt w:val="bullet"/>
      <w:lvlText w:val="•"/>
      <w:lvlJc w:val="left"/>
      <w:pPr>
        <w:ind w:left="5344" w:hanging="340"/>
      </w:pPr>
      <w:rPr>
        <w:rFonts w:hint="default"/>
      </w:rPr>
    </w:lvl>
    <w:lvl w:ilvl="7" w:tplc="91642A4C">
      <w:numFmt w:val="bullet"/>
      <w:lvlText w:val="•"/>
      <w:lvlJc w:val="left"/>
      <w:pPr>
        <w:ind w:left="6218" w:hanging="340"/>
      </w:pPr>
      <w:rPr>
        <w:rFonts w:hint="default"/>
      </w:rPr>
    </w:lvl>
    <w:lvl w:ilvl="8" w:tplc="132A9A64">
      <w:numFmt w:val="bullet"/>
      <w:lvlText w:val="•"/>
      <w:lvlJc w:val="left"/>
      <w:pPr>
        <w:ind w:left="7092" w:hanging="340"/>
      </w:pPr>
      <w:rPr>
        <w:rFonts w:hint="default"/>
      </w:rPr>
    </w:lvl>
  </w:abstractNum>
  <w:abstractNum w:abstractNumId="3" w15:restartNumberingAfterBreak="0">
    <w:nsid w:val="3E527F12"/>
    <w:multiLevelType w:val="hybridMultilevel"/>
    <w:tmpl w:val="35B602C4"/>
    <w:lvl w:ilvl="0" w:tplc="518E1130">
      <w:start w:val="3"/>
      <w:numFmt w:val="decimal"/>
      <w:lvlText w:val="%1."/>
      <w:lvlJc w:val="left"/>
      <w:pPr>
        <w:ind w:left="378" w:hanging="278"/>
      </w:pPr>
      <w:rPr>
        <w:rFonts w:ascii="Arial" w:eastAsia="Arial" w:hAnsi="Arial" w:cs="Arial" w:hint="default"/>
        <w:b/>
        <w:bCs/>
        <w:w w:val="99"/>
        <w:sz w:val="25"/>
        <w:szCs w:val="25"/>
      </w:rPr>
    </w:lvl>
    <w:lvl w:ilvl="1" w:tplc="E3F02426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sz w:val="20"/>
        <w:szCs w:val="20"/>
      </w:rPr>
    </w:lvl>
    <w:lvl w:ilvl="2" w:tplc="3FB2002E"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5B0E8684"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D9C8710C"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419C79AC"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5B2E6D80"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3A02E9A2"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8664441A"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4" w15:restartNumberingAfterBreak="0">
    <w:nsid w:val="41133504"/>
    <w:multiLevelType w:val="hybridMultilevel"/>
    <w:tmpl w:val="4D08A69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BA82D9C"/>
    <w:multiLevelType w:val="hybridMultilevel"/>
    <w:tmpl w:val="F5A4369C"/>
    <w:lvl w:ilvl="0" w:tplc="8F1C9168">
      <w:start w:val="3"/>
      <w:numFmt w:val="decimal"/>
      <w:lvlText w:val="%1."/>
      <w:lvlJc w:val="left"/>
      <w:pPr>
        <w:ind w:left="340" w:hanging="241"/>
      </w:pPr>
      <w:rPr>
        <w:rFonts w:hint="default"/>
        <w:spacing w:val="-3"/>
        <w:w w:val="99"/>
      </w:rPr>
    </w:lvl>
    <w:lvl w:ilvl="1" w:tplc="C29EC97A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E28CA0A0">
      <w:numFmt w:val="bullet"/>
      <w:lvlText w:val="•"/>
      <w:lvlJc w:val="left"/>
      <w:pPr>
        <w:ind w:left="2040" w:hanging="241"/>
      </w:pPr>
      <w:rPr>
        <w:rFonts w:hint="default"/>
      </w:rPr>
    </w:lvl>
    <w:lvl w:ilvl="3" w:tplc="8736B5B6">
      <w:numFmt w:val="bullet"/>
      <w:lvlText w:val="•"/>
      <w:lvlJc w:val="left"/>
      <w:pPr>
        <w:ind w:left="2890" w:hanging="241"/>
      </w:pPr>
      <w:rPr>
        <w:rFonts w:hint="default"/>
      </w:rPr>
    </w:lvl>
    <w:lvl w:ilvl="4" w:tplc="ADAC0A34">
      <w:numFmt w:val="bullet"/>
      <w:lvlText w:val="•"/>
      <w:lvlJc w:val="left"/>
      <w:pPr>
        <w:ind w:left="3740" w:hanging="241"/>
      </w:pPr>
      <w:rPr>
        <w:rFonts w:hint="default"/>
      </w:rPr>
    </w:lvl>
    <w:lvl w:ilvl="5" w:tplc="D8E20E64">
      <w:numFmt w:val="bullet"/>
      <w:lvlText w:val="•"/>
      <w:lvlJc w:val="left"/>
      <w:pPr>
        <w:ind w:left="4590" w:hanging="241"/>
      </w:pPr>
      <w:rPr>
        <w:rFonts w:hint="default"/>
      </w:rPr>
    </w:lvl>
    <w:lvl w:ilvl="6" w:tplc="8362C3C2">
      <w:numFmt w:val="bullet"/>
      <w:lvlText w:val="•"/>
      <w:lvlJc w:val="left"/>
      <w:pPr>
        <w:ind w:left="5440" w:hanging="241"/>
      </w:pPr>
      <w:rPr>
        <w:rFonts w:hint="default"/>
      </w:rPr>
    </w:lvl>
    <w:lvl w:ilvl="7" w:tplc="781658F4">
      <w:numFmt w:val="bullet"/>
      <w:lvlText w:val="•"/>
      <w:lvlJc w:val="left"/>
      <w:pPr>
        <w:ind w:left="6290" w:hanging="241"/>
      </w:pPr>
      <w:rPr>
        <w:rFonts w:hint="default"/>
      </w:rPr>
    </w:lvl>
    <w:lvl w:ilvl="8" w:tplc="F0707C64">
      <w:numFmt w:val="bullet"/>
      <w:lvlText w:val="•"/>
      <w:lvlJc w:val="left"/>
      <w:pPr>
        <w:ind w:left="7140" w:hanging="24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68"/>
    <w:rsid w:val="00025302"/>
    <w:rsid w:val="001728AD"/>
    <w:rsid w:val="001D135E"/>
    <w:rsid w:val="00307368"/>
    <w:rsid w:val="0053533B"/>
    <w:rsid w:val="00591188"/>
    <w:rsid w:val="007D08F6"/>
    <w:rsid w:val="00827406"/>
    <w:rsid w:val="0095562A"/>
    <w:rsid w:val="00AD20D6"/>
    <w:rsid w:val="00B03C27"/>
    <w:rsid w:val="00BC10E9"/>
    <w:rsid w:val="00EA4134"/>
    <w:rsid w:val="00F4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9498"/>
  <w15:docId w15:val="{47742565-9F0C-0E49-8243-1886C12A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3C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27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1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1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18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274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sp.od.nih.gov/wp-content/uploads/NIH_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p.od.nih.gov/wp-content/uploads/NIH_Guidelines.pdf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Bresnahan, Michelle E.</dc:creator>
  <cp:lastModifiedBy>Bresnahan, Michelle E.</cp:lastModifiedBy>
  <cp:revision>2</cp:revision>
  <cp:lastPrinted>2020-01-28T20:05:00Z</cp:lastPrinted>
  <dcterms:created xsi:type="dcterms:W3CDTF">2020-02-17T20:03:00Z</dcterms:created>
  <dcterms:modified xsi:type="dcterms:W3CDTF">2020-02-17T20:03:00Z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2010-01-05T00:00:00Z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2019-08-15T00:00:00Z</vt:filetime>
  </property>
</Properties>
</file>